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_______________________, dnia ____________ r.</w:t>
      </w:r>
    </w:p>
    <w:p>
      <w:pPr>
        <w:pStyle w:val="BodyText"/>
      </w:pPr>
      <w:r>
        <w:rPr>
          <w:b/>
        </w:rPr>
        <w:t xml:space="preserve">Dłużnik / dłużnicy:</w:t>
      </w:r>
      <w:r>
        <w:t xml:space="preserve"> </w:t>
      </w:r>
      <w:r>
        <w:t xml:space="preserve">Imię i nazwisko: ______________________________</w:t>
      </w:r>
      <w:r>
        <w:t xml:space="preserve"> </w:t>
      </w:r>
      <w:r>
        <w:t xml:space="preserve">Adres lokalu podlegającego opróżnieniu: ______________________________</w:t>
      </w:r>
      <w:r>
        <w:t xml:space="preserve"> </w:t>
      </w:r>
      <w:r>
        <w:t xml:space="preserve">Adres do korespondencji: ______________________________</w:t>
      </w:r>
      <w:r>
        <w:t xml:space="preserve"> </w:t>
      </w:r>
      <w:r>
        <w:t xml:space="preserve">PESEL: ______________________________</w:t>
      </w:r>
    </w:p>
    <w:p>
      <w:pPr>
        <w:pStyle w:val="BodyText"/>
      </w:pPr>
      <w:r>
        <w:rPr>
          <w:b/>
        </w:rPr>
        <w:t xml:space="preserve">Komornik Sądowy przy Sądzie Rejonowym w ______________________________</w:t>
      </w:r>
      <w:r>
        <w:t xml:space="preserve"> </w:t>
      </w:r>
      <w:r>
        <w:t xml:space="preserve">______________________________ (adres kancelarii)</w:t>
      </w:r>
    </w:p>
    <w:p>
      <w:pPr>
        <w:pStyle w:val="BodyText"/>
      </w:pPr>
      <w:r>
        <w:rPr>
          <w:b/>
        </w:rPr>
        <w:t xml:space="preserve">Sygnatura akt: Km ____________</w:t>
      </w:r>
    </w:p>
    <w:p>
      <w:pPr>
        <w:pStyle w:val="Heading1"/>
      </w:pPr>
      <w:bookmarkStart w:id="20" w:name="X732ac75a257ae0725b99a1a3891eb347302a8e8"/>
      <w:r>
        <w:t xml:space="preserve">Zawiadomienie o braku tytułu prawnego do innego lokalu i wniosek o zastosowanie art. 1046 § 4 KPC</w:t>
      </w:r>
      <w:bookmarkEnd w:id="20"/>
    </w:p>
    <w:p>
      <w:pPr>
        <w:pStyle w:val="FirstParagraph"/>
      </w:pPr>
      <w:r>
        <w:t xml:space="preserve">Działając jako dłużnik w postępowaniu egzekucyjnym o opróżnienie lokalu położonego w ______________________________ przy ul. ______________________________, prowadzonym pod sygnaturą Km ____________,</w:t>
      </w:r>
      <w:r>
        <w:t xml:space="preserve"> </w:t>
      </w:r>
      <w:r>
        <w:rPr>
          <w:b/>
        </w:rPr>
        <w:t xml:space="preserve">zawiadamiam, że nie przysługuje mi tytuł prawny do innego lokalu ani pomieszczenia, w którym mógłbym zamieszkać</w:t>
      </w:r>
      <w:r>
        <w:t xml:space="preserve">, i wnoszę o:</w:t>
      </w:r>
    </w:p>
    <w:p>
      <w:pPr>
        <w:numPr>
          <w:ilvl w:val="0"/>
          <w:numId w:val="1001"/>
        </w:numPr>
      </w:pPr>
      <w:r>
        <w:rPr>
          <w:b/>
        </w:rPr>
        <w:t xml:space="preserve">zastosowanie art. 1046 § 4 Kodeksu postępowania cywilnego</w:t>
      </w:r>
      <w:r>
        <w:t xml:space="preserve"> </w:t>
      </w:r>
      <w:r>
        <w:t xml:space="preserve">i wstrzymanie się z dokonaniem czynności usunięcia dłużnika z lokalu do czasu wskazania dłużnikowi tymczasowego pomieszczenia przez gminę właściwą ze względu na miejsce położenia lokalu podlegającego opróżnieniu;</w:t>
      </w:r>
    </w:p>
    <w:p>
      <w:pPr>
        <w:numPr>
          <w:ilvl w:val="0"/>
          <w:numId w:val="1001"/>
        </w:numPr>
      </w:pPr>
      <w:r>
        <w:rPr>
          <w:b/>
        </w:rPr>
        <w:t xml:space="preserve">wystąpienie przez Komornika do gminy ______________________________ o wskazanie dłużnikowi tymczasowego pomieszczenia.</w:t>
      </w:r>
    </w:p>
    <w:p>
      <w:pPr>
        <w:pStyle w:val="Heading2"/>
      </w:pPr>
      <w:bookmarkStart w:id="21" w:name="uzasadnienie"/>
      <w:r>
        <w:t xml:space="preserve">Uzasadnienie</w:t>
      </w:r>
      <w:bookmarkEnd w:id="21"/>
    </w:p>
    <w:p>
      <w:pPr>
        <w:pStyle w:val="FirstParagraph"/>
      </w:pPr>
      <w:r>
        <w:t xml:space="preserve">Wobec dłużnika prowadzona jest egzekucja obowiązku opróżnienia lokalu</w:t>
      </w:r>
      <w:r>
        <w:t xml:space="preserve"> </w:t>
      </w:r>
      <w:r>
        <w:rPr>
          <w:b/>
        </w:rPr>
        <w:t xml:space="preserve">służącego zaspokojeniu jego potrzeb mieszkaniowych</w:t>
      </w:r>
      <w:r>
        <w:t xml:space="preserve">. Z tytułu wykonawczego stanowiącego podstawę egzekucji</w:t>
      </w:r>
      <w:r>
        <w:t xml:space="preserve"> </w:t>
      </w:r>
      <w:r>
        <w:rPr>
          <w:b/>
        </w:rPr>
        <w:t xml:space="preserve">nie wynika uprawnienie dłużnika do zawarcia umowy najmu socjalnego lokalu ani prawo do lokalu zamiennego</w:t>
      </w:r>
      <w:r>
        <w:t xml:space="preserve">.</w:t>
      </w:r>
    </w:p>
    <w:p>
      <w:pPr>
        <w:pStyle w:val="BodyText"/>
      </w:pPr>
      <w:r>
        <w:t xml:space="preserve">Dłużnikowi</w:t>
      </w:r>
      <w:r>
        <w:t xml:space="preserve"> </w:t>
      </w:r>
      <w:r>
        <w:rPr>
          <w:b/>
        </w:rPr>
        <w:t xml:space="preserve">nie przysługuje tytuł prawny do innego lokalu lub pomieszczenia, w którym może zamieszkać</w:t>
      </w:r>
      <w:r>
        <w:t xml:space="preserve">. W szczególności dłużnik nie jest właścicielem ani współwłaścicielem innego lokalu, nie przysługuje mu spółdzielcze prawo do lokalu, nie jest stroną umowy najmu ani użyczenia innego lokalu, ani nie dysponuje skuteczną zgodą osoby uprawnionej na zamieszkiwanie pod innym adresem.</w:t>
      </w:r>
    </w:p>
    <w:p>
      <w:pPr>
        <w:pStyle w:val="BodyText"/>
      </w:pPr>
      <w:r>
        <w:rPr>
          <w:i/>
        </w:rPr>
        <w:t xml:space="preserve">(Jeżeli dłużnik jest gdzieś zameldowany, należy to wskazać i wyjaśnić:)</w:t>
      </w:r>
      <w:r>
        <w:t xml:space="preserve"> </w:t>
      </w:r>
      <w:r>
        <w:t xml:space="preserve">Dłużnik pozostaje zameldowany pod adresem ______________________________, jednak</w:t>
      </w:r>
      <w:r>
        <w:t xml:space="preserve"> </w:t>
      </w:r>
      <w:r>
        <w:rPr>
          <w:b/>
        </w:rPr>
        <w:t xml:space="preserve">zameldowanie ma charakter wyłącznie ewidencyjny i nie stanowi tytułu prawnego do lokalu</w:t>
      </w:r>
      <w:r>
        <w:t xml:space="preserve"> </w:t>
      </w:r>
      <w:r>
        <w:t xml:space="preserve">ani nie daje dłużnikowi prawa do zamieszkiwania w tym lokalu, ponieważ ______________________________.</w:t>
      </w:r>
    </w:p>
    <w:p>
      <w:pPr>
        <w:pStyle w:val="BodyText"/>
      </w:pPr>
      <w:r>
        <w:t xml:space="preserve">Zgodnie z art. 1046 § 4 KPC, jeżeli dłużnikowi nie przysługuje tytuł prawny do innego lokalu lub pomieszczenia, w którym może zamieszkać, komornik wstrzyma się z dokonaniem czynności do czasu, gdy gmina właściwa ze względu na miejsce położenia lokalu podlegającego opróżnieniu, na wniosek komornika, wskaże dłużnikowi tymczasowe pomieszczenie.</w:t>
      </w:r>
    </w:p>
    <w:p>
      <w:pPr>
        <w:pStyle w:val="Heading2"/>
      </w:pPr>
      <w:bookmarkStart w:id="22" w:name="osoby-objęte-tytułem-wykonawczym"/>
      <w:r>
        <w:t xml:space="preserve">Osoby objęte tytułem wykonawczym</w:t>
      </w:r>
      <w:bookmarkEnd w:id="22"/>
    </w:p>
    <w:p>
      <w:pPr>
        <w:pStyle w:val="FirstParagraph"/>
      </w:pPr>
      <w:r>
        <w:rPr>
          <w:b/>
        </w:rPr>
        <w:t xml:space="preserve">Każda pełnoletnia osoba objęta tytułem wykonawczym powinna złożyć własne oświadczenie o braku tytułu prawnego do innego lokalu albo podpisać poniższe oświadczenie wspólne.</w:t>
      </w:r>
      <w:r>
        <w:t xml:space="preserve"> </w:t>
      </w:r>
      <w:r>
        <w:t xml:space="preserve">To, czy dana osoba ma tytuł do innego lokalu, oceniane jest odrębnie wobec każdej z nich. Jedna osoba nie powinna bez odpowiedniego umocowania składać kategorycznego oświadczenia w imieniu pozostałych pełnoletnich dłużników.</w:t>
      </w:r>
    </w:p>
    <w:tbl>
      <w:tblPr>
        <w:tblStyle w:val="Table"/>
        <w:tblW w:type="pct" w:w="0.0"/>
        <w:tblLook w:firstRow="1"/>
      </w:tblPr>
      <w:tblGrid/>
      <w:tr>
        <w:trPr>
          <w:cnfStyle w:firstRow="1"/>
        </w:trPr>
        <w:tc>
          <w:tcPr>
            <w:tcBorders>
              <w:bottom w:val="single"/>
            </w:tcBorders>
            <w:vAlign w:val="bottom"/>
          </w:tcPr>
          <w:p>
            <w:pPr>
              <w:pStyle w:val="Compact"/>
              <w:jc w:val="left"/>
            </w:pPr>
            <w:r>
              <w:t xml:space="preserve">Osoba objęta tytułem</w:t>
            </w:r>
          </w:p>
        </w:tc>
        <w:tc>
          <w:tcPr>
            <w:tcBorders>
              <w:bottom w:val="single"/>
            </w:tcBorders>
            <w:vAlign w:val="bottom"/>
          </w:tcPr>
          <w:p>
            <w:pPr>
              <w:pStyle w:val="Compact"/>
              <w:jc w:val="left"/>
            </w:pPr>
            <w:r>
              <w:t xml:space="preserve">PESEL</w:t>
            </w:r>
          </w:p>
        </w:tc>
        <w:tc>
          <w:tcPr>
            <w:tcBorders>
              <w:bottom w:val="single"/>
            </w:tcBorders>
            <w:vAlign w:val="bottom"/>
          </w:tcPr>
          <w:p>
            <w:pPr>
              <w:pStyle w:val="Compact"/>
              <w:jc w:val="left"/>
            </w:pPr>
            <w:r>
              <w:t xml:space="preserve">Czy ma tytuł do innego lokalu?</w:t>
            </w:r>
          </w:p>
        </w:tc>
        <w:tc>
          <w:tcPr>
            <w:tcBorders>
              <w:bottom w:val="single"/>
            </w:tcBorders>
            <w:vAlign w:val="bottom"/>
          </w:tcPr>
          <w:p>
            <w:pPr>
              <w:pStyle w:val="Compact"/>
              <w:jc w:val="left"/>
            </w:pPr>
            <w:r>
              <w:t xml:space="preserve">Podpis</w:t>
            </w:r>
          </w:p>
        </w:tc>
      </w:tr>
      <w:tr>
        <w:tc>
          <w:p/>
        </w:tc>
        <w:tc>
          <w:p/>
        </w:tc>
        <w:tc>
          <w:p>
            <w:pPr>
              <w:pStyle w:val="Compact"/>
              <w:jc w:val="left"/>
            </w:pPr>
            <w:r>
              <w:t xml:space="preserve">tak / nie</w:t>
            </w:r>
          </w:p>
        </w:tc>
        <w:tc>
          <w:p/>
        </w:tc>
      </w:tr>
      <w:tr>
        <w:tc>
          <w:p/>
        </w:tc>
        <w:tc>
          <w:p/>
        </w:tc>
        <w:tc>
          <w:p>
            <w:pPr>
              <w:pStyle w:val="Compact"/>
              <w:jc w:val="left"/>
            </w:pPr>
            <w:r>
              <w:t xml:space="preserve">tak / nie</w:t>
            </w:r>
          </w:p>
        </w:tc>
        <w:tc>
          <w:p/>
        </w:tc>
      </w:tr>
      <w:tr>
        <w:tc>
          <w:p/>
        </w:tc>
        <w:tc>
          <w:p/>
        </w:tc>
        <w:tc>
          <w:p>
            <w:pPr>
              <w:pStyle w:val="Compact"/>
              <w:jc w:val="left"/>
            </w:pPr>
            <w:r>
              <w:t xml:space="preserve">tak / nie</w:t>
            </w:r>
          </w:p>
        </w:tc>
        <w:tc>
          <w:p/>
        </w:tc>
      </w:tr>
      <w:tr>
        <w:tc>
          <w:p/>
        </w:tc>
        <w:tc>
          <w:p/>
        </w:tc>
        <w:tc>
          <w:p>
            <w:pPr>
              <w:pStyle w:val="Compact"/>
              <w:jc w:val="left"/>
            </w:pPr>
            <w:r>
              <w:t xml:space="preserve">tak / nie</w:t>
            </w:r>
          </w:p>
        </w:tc>
        <w:tc>
          <w:p/>
        </w:tc>
      </w:tr>
    </w:tbl>
    <w:p>
      <w:pPr>
        <w:pStyle w:val="BodyText"/>
      </w:pPr>
      <w:r>
        <w:rPr>
          <w:i/>
        </w:rPr>
        <w:t xml:space="preserve">(Osoby małoletnie należy wymienić, ale nie podpisują one oświadczenia.)</w:t>
      </w:r>
    </w:p>
    <w:p>
      <w:pPr>
        <w:pStyle w:val="Heading2"/>
      </w:pPr>
      <w:bookmarkStart w:id="23" w:name="informacje-istotne-dla-oceny-przesłanek"/>
      <w:r>
        <w:t xml:space="preserve">Informacje istotne dla oceny przesłanek</w:t>
      </w:r>
      <w:bookmarkEnd w:id="23"/>
    </w:p>
    <w:p>
      <w:pPr>
        <w:numPr>
          <w:ilvl w:val="0"/>
          <w:numId w:val="1002"/>
        </w:numPr>
        <w:pStyle w:val="Compact"/>
      </w:pPr>
      <w:r>
        <w:rPr>
          <w:b/>
        </w:rPr>
        <w:t xml:space="preserve">Rodzaj zajmowanego lokalu:</w:t>
      </w:r>
      <w:r>
        <w:t xml:space="preserve"> </w:t>
      </w:r>
      <w:r>
        <w:t xml:space="preserve">komunalny / spółdzielczy / należący do osoby fizycznej / należący do przedsiębiorcy / inny: ______________________</w:t>
      </w:r>
    </w:p>
    <w:p>
      <w:pPr>
        <w:numPr>
          <w:ilvl w:val="0"/>
          <w:numId w:val="1002"/>
        </w:numPr>
        <w:pStyle w:val="Compact"/>
      </w:pPr>
      <w:r>
        <w:rPr>
          <w:b/>
        </w:rPr>
        <w:t xml:space="preserve">Podstawa dotychczasowego korzystania z lokalu:</w:t>
      </w:r>
      <w:r>
        <w:t xml:space="preserve"> </w:t>
      </w:r>
      <w:r>
        <w:t xml:space="preserve">umowa najmu / użyczenie / prawo rodzinne / inna: ______________________</w:t>
      </w:r>
    </w:p>
    <w:p>
      <w:pPr>
        <w:numPr>
          <w:ilvl w:val="0"/>
          <w:numId w:val="1002"/>
        </w:numPr>
        <w:pStyle w:val="Compact"/>
      </w:pPr>
      <w:r>
        <w:rPr>
          <w:b/>
        </w:rPr>
        <w:t xml:space="preserve">Czy lokal był zajmowany na podstawie umowy najmu okazjonalnego:</w:t>
      </w:r>
      <w:r>
        <w:t xml:space="preserve"> </w:t>
      </w:r>
      <w:r>
        <w:t xml:space="preserve">tak / nie</w:t>
      </w:r>
    </w:p>
    <w:p>
      <w:pPr>
        <w:numPr>
          <w:ilvl w:val="0"/>
          <w:numId w:val="1002"/>
        </w:numPr>
        <w:pStyle w:val="Compact"/>
      </w:pPr>
      <w:r>
        <w:t xml:space="preserve">Jeżeli tak -</w:t>
      </w:r>
      <w:r>
        <w:t xml:space="preserve"> </w:t>
      </w:r>
      <w:r>
        <w:rPr>
          <w:b/>
        </w:rPr>
        <w:t xml:space="preserve">czy zawarcie umowy zostało zgłoszone przez właściciela naczelnikowi urzędu skarbowego:</w:t>
      </w:r>
      <w:r>
        <w:t xml:space="preserve"> </w:t>
      </w:r>
      <w:r>
        <w:t xml:space="preserve">tak / nie / nie wiem</w:t>
      </w:r>
    </w:p>
    <w:p>
      <w:pPr>
        <w:numPr>
          <w:ilvl w:val="0"/>
          <w:numId w:val="1002"/>
        </w:numPr>
        <w:pStyle w:val="Compact"/>
      </w:pPr>
      <w:r>
        <w:rPr>
          <w:b/>
        </w:rPr>
        <w:t xml:space="preserve">Czy lokal był zajmowany na podstawie umowy najmu instytucjonalnego:</w:t>
      </w:r>
      <w:r>
        <w:t xml:space="preserve"> </w:t>
      </w:r>
      <w:r>
        <w:t xml:space="preserve">tak / nie</w:t>
      </w:r>
    </w:p>
    <w:p>
      <w:pPr>
        <w:numPr>
          <w:ilvl w:val="0"/>
          <w:numId w:val="1002"/>
        </w:numPr>
        <w:pStyle w:val="Compact"/>
      </w:pPr>
      <w:r>
        <w:rPr>
          <w:b/>
        </w:rPr>
        <w:t xml:space="preserve">Czy lokal był zajmowany na podstawie umowy najmu instytucjonalnego z dojściem do własności:</w:t>
      </w:r>
      <w:r>
        <w:t xml:space="preserve"> </w:t>
      </w:r>
      <w:r>
        <w:t xml:space="preserve">tak / nie</w:t>
      </w:r>
    </w:p>
    <w:p>
      <w:pPr>
        <w:numPr>
          <w:ilvl w:val="0"/>
          <w:numId w:val="1002"/>
        </w:numPr>
        <w:pStyle w:val="Compact"/>
      </w:pPr>
      <w:r>
        <w:rPr>
          <w:b/>
        </w:rPr>
        <w:t xml:space="preserve">Czy dłużnik został zobowiązany do opróżnienia tymczasowego pomieszczenia:</w:t>
      </w:r>
      <w:r>
        <w:t xml:space="preserve"> </w:t>
      </w:r>
      <w:r>
        <w:t xml:space="preserve">tak / nie</w:t>
      </w:r>
    </w:p>
    <w:p>
      <w:pPr>
        <w:numPr>
          <w:ilvl w:val="0"/>
          <w:numId w:val="1002"/>
        </w:numPr>
        <w:pStyle w:val="Compact"/>
      </w:pPr>
      <w:r>
        <w:rPr>
          <w:b/>
        </w:rPr>
        <w:t xml:space="preserve">Czy z tytułu wykonawczego wynika, że opróżnienie lokalu orzeczono z powodu przemocy w rodzinie, rażącego lub uporczywego wykraczania przeciwko porządkowi domowemu albo niewłaściwego zachowania czyniącego uciążliwym korzystanie z innych lokali:</w:t>
      </w:r>
      <w:r>
        <w:t xml:space="preserve"> </w:t>
      </w:r>
      <w:r>
        <w:t xml:space="preserve">tak / nie</w:t>
      </w:r>
    </w:p>
    <w:p>
      <w:pPr>
        <w:numPr>
          <w:ilvl w:val="0"/>
          <w:numId w:val="1002"/>
        </w:numPr>
        <w:pStyle w:val="Compact"/>
      </w:pPr>
      <w:r>
        <w:rPr>
          <w:b/>
        </w:rPr>
        <w:t xml:space="preserve">Czy lokal został zajęty bez tytułu prawnego:</w:t>
      </w:r>
      <w:r>
        <w:t xml:space="preserve"> </w:t>
      </w:r>
      <w:r>
        <w:t xml:space="preserve">tak / nie</w:t>
      </w:r>
    </w:p>
    <w:p>
      <w:pPr>
        <w:pStyle w:val="FirstParagraph"/>
      </w:pPr>
      <w:r>
        <w:t xml:space="preserve">Mając powyższe na uwadze, wniosek jest uzasadniony i zasługuje na uwzględnienie.</w:t>
      </w:r>
    </w:p>
    <w:p>
      <w:r>
        <w:pict>
          <v:rect style="width:0;height:1.5pt" o:hralign="center" o:hrstd="t" o:hr="t"/>
        </w:pict>
      </w:r>
    </w:p>
    <w:p>
      <w:pPr>
        <w:pStyle w:val="FirstParagraph"/>
      </w:pPr>
      <w:r>
        <w:rPr>
          <w:i/>
        </w:rPr>
        <w:t xml:space="preserve">(podpis dłużnika)</w:t>
      </w:r>
    </w:p>
    <w:p>
      <w:pPr>
        <w:pStyle w:val="Heading2"/>
      </w:pPr>
      <w:bookmarkStart w:id="24" w:name="załączniki"/>
      <w:r>
        <w:t xml:space="preserve">Załączniki</w:t>
      </w:r>
      <w:bookmarkEnd w:id="24"/>
    </w:p>
    <w:p>
      <w:pPr>
        <w:numPr>
          <w:ilvl w:val="0"/>
          <w:numId w:val="1003"/>
        </w:numPr>
        <w:pStyle w:val="Compact"/>
      </w:pPr>
      <w:r>
        <w:t xml:space="preserve">Oświadczenie dłużnika o nieposiadaniu tytułu prawnego do innego lokalu lub pomieszczenia, w którym może zamieszkać.</w:t>
      </w:r>
    </w:p>
    <w:p>
      <w:pPr>
        <w:numPr>
          <w:ilvl w:val="0"/>
          <w:numId w:val="1003"/>
        </w:numPr>
        <w:pStyle w:val="Compact"/>
      </w:pPr>
      <w:r>
        <w:t xml:space="preserve">Oświadczenia pozostałych pełnoletnich osób objętych tytułem wykonawczym (jeżeli nie podpisały oświadczenia wspólnego).</w:t>
      </w:r>
    </w:p>
    <w:p>
      <w:pPr>
        <w:numPr>
          <w:ilvl w:val="0"/>
          <w:numId w:val="1003"/>
        </w:numPr>
        <w:pStyle w:val="Compact"/>
      </w:pPr>
      <w:r>
        <w:t xml:space="preserve">______________________________</w:t>
      </w:r>
      <w:r>
        <w:t xml:space="preserve"> </w:t>
      </w:r>
      <w:r>
        <w:rPr>
          <w:i/>
        </w:rPr>
        <w:t xml:space="preserve">(dokumenty dotyczące braku prawa do innego lokalu, np. wypowiedzenie umowy najmu poprzedniego lokalu, oświadczenie właściciela lokalu, w którym dłużnik jest zameldowany)</w:t>
      </w:r>
    </w:p>
    <w:p>
      <w:pPr>
        <w:numPr>
          <w:ilvl w:val="0"/>
          <w:numId w:val="1003"/>
        </w:numPr>
        <w:pStyle w:val="Compact"/>
      </w:pPr>
      <w:r>
        <w:t xml:space="preserve">______________________________</w:t>
      </w:r>
      <w:r>
        <w:t xml:space="preserve"> </w:t>
      </w:r>
      <w:r>
        <w:rPr>
          <w:i/>
        </w:rPr>
        <w:t xml:space="preserve">(kopia umowy najmu zajmowanego lokalu, jeżeli dłużnik nią dysponuje)</w:t>
      </w:r>
    </w:p>
    <w:p>
      <w:r>
        <w:pict>
          <v:rect style="width:0;height:1.5pt" o:hralign="center" o:hrstd="t" o:hr="t"/>
        </w:pict>
      </w:r>
    </w:p>
    <w:p>
      <w:pPr>
        <w:pStyle w:val="FirstParagraph"/>
      </w:pPr>
      <w:r>
        <w:rPr>
          <w:b/>
        </w:rPr>
        <w:t xml:space="preserve">POUCZENIE - przeczytaj przed złożeniem</w:t>
      </w:r>
    </w:p>
    <w:p>
      <w:pPr>
        <w:numPr>
          <w:ilvl w:val="0"/>
          <w:numId w:val="1004"/>
        </w:numPr>
        <w:pStyle w:val="Compact"/>
      </w:pPr>
      <w:r>
        <w:rPr>
          <w:b/>
        </w:rPr>
        <w:t xml:space="preserve">Pismo nie tworzy prawa do wstrzymania egzekucji.</w:t>
      </w:r>
      <w:r>
        <w:t xml:space="preserve"> </w:t>
      </w:r>
      <w:r>
        <w:t xml:space="preserve">Obowiązek wstrzymania czynności wynika wprost z art. 1046 § 4 KPC i komornik stosuje go z urzędu. Pismo informuje go o okolicznościach, które powinien uwzględnić, bo sam ich nie zna.</w:t>
      </w:r>
    </w:p>
    <w:p>
      <w:pPr>
        <w:numPr>
          <w:ilvl w:val="0"/>
          <w:numId w:val="1004"/>
        </w:numPr>
        <w:pStyle w:val="Compact"/>
      </w:pPr>
      <w:r>
        <w:t xml:space="preserve">Pismo składa się</w:t>
      </w:r>
      <w:r>
        <w:t xml:space="preserve"> </w:t>
      </w:r>
      <w:r>
        <w:rPr>
          <w:b/>
        </w:rPr>
        <w:t xml:space="preserve">do komornika prowadzącego postępowanie</w:t>
      </w:r>
      <w:r>
        <w:t xml:space="preserve">, z powołaniem sygnatury akt Km.</w:t>
      </w:r>
    </w:p>
    <w:p>
      <w:pPr>
        <w:numPr>
          <w:ilvl w:val="0"/>
          <w:numId w:val="1004"/>
        </w:numPr>
        <w:pStyle w:val="Compact"/>
      </w:pPr>
      <w:r>
        <w:rPr>
          <w:b/>
        </w:rPr>
        <w:t xml:space="preserve">Ustawa nie określa maksymalnego okresu wstrzymania.</w:t>
      </w:r>
      <w:r>
        <w:t xml:space="preserve"> </w:t>
      </w:r>
      <w:r>
        <w:t xml:space="preserve">Oczekiwanie kończy się, gdy gmina wskaże tymczasowe pomieszczenie albo gdy pomieszczenie spełniające odpowiednie wymagania wskaże wierzyciel, dłużnik lub osoba trzecia (art. 1046 § 5 KPC).</w:t>
      </w:r>
    </w:p>
    <w:p>
      <w:pPr>
        <w:numPr>
          <w:ilvl w:val="0"/>
          <w:numId w:val="1004"/>
        </w:numPr>
        <w:pStyle w:val="Compact"/>
      </w:pPr>
      <w:r>
        <w:rPr>
          <w:b/>
        </w:rPr>
        <w:t xml:space="preserve">Prawo do tymczasowego pomieszczenia nie przysługuje</w:t>
      </w:r>
      <w:r>
        <w:t xml:space="preserve">, gdy z tytułu wykonawczego wynika, że opróżnienie lokalu orzeczono z powodu przemocy w rodzinie, rażącego lub uporczywego wykraczania przeciwko porządkowi domowemu albo niewłaściwego zachowania czyniącego uciążliwym korzystanie z innych lokali, a także gdy lokal zajęto bez tytułu prawnego.</w:t>
      </w:r>
      <w:r>
        <w:t xml:space="preserve"> </w:t>
      </w:r>
      <w:r>
        <w:rPr>
          <w:b/>
        </w:rPr>
        <w:t xml:space="preserve">Nie przysługuje również przy najmie okazjonalnym zgłoszonym przez właściciela naczelnikowi urzędu skarbowego, przy najmie instytucjonalnym, przy najmie instytucjonalnym z dojściem do własności oraz przy opróżnianiu samego tymczasowego pomieszczenia.</w:t>
      </w:r>
      <w:r>
        <w:t xml:space="preserve"> </w:t>
      </w:r>
      <w:r>
        <w:t xml:space="preserve">W takich przypadkach komornik usuwa dłużnika do noclegowni, schroniska lub innej placówki wskazanej przez gminę.</w:t>
      </w:r>
    </w:p>
    <w:p>
      <w:pPr>
        <w:numPr>
          <w:ilvl w:val="0"/>
          <w:numId w:val="1004"/>
        </w:numPr>
        <w:pStyle w:val="Compact"/>
      </w:pPr>
      <w:r>
        <w:t xml:space="preserve">Zwróć uwagę:</w:t>
      </w:r>
      <w:r>
        <w:t xml:space="preserve"> </w:t>
      </w:r>
      <w:r>
        <w:rPr>
          <w:b/>
        </w:rPr>
        <w:t xml:space="preserve">wymóg zgłoszenia naczelnikowi urzędu skarbowego dotyczy wyłącznie najmu okazjonalnego.</w:t>
      </w:r>
      <w:r>
        <w:t xml:space="preserve"> </w:t>
      </w:r>
      <w:r>
        <w:t xml:space="preserve">Najem instytucjonalny i najem instytucjonalny z dojściem do własności takiemu zgłoszeniu nie podlegają.</w:t>
      </w:r>
    </w:p>
    <w:p>
      <w:pPr>
        <w:numPr>
          <w:ilvl w:val="0"/>
          <w:numId w:val="1004"/>
        </w:numPr>
        <w:pStyle w:val="Compact"/>
      </w:pPr>
      <w:r>
        <w:t xml:space="preserve">Okoliczności takie jak status bezrobotnego, niepełnosprawność, choroba czy posiadanie małoletniego dziecka mają znaczenie przede wszystkim</w:t>
      </w:r>
      <w:r>
        <w:t xml:space="preserve"> </w:t>
      </w:r>
      <w:r>
        <w:rPr>
          <w:b/>
        </w:rPr>
        <w:t xml:space="preserve">na etapie postępowania sądowego</w:t>
      </w:r>
      <w:r>
        <w:t xml:space="preserve">, przy ocenie uprawnienia do zawarcia umowy najmu socjalnego lokalu. Na etapie art. 1046 § 4 KPC co do zasady nie one przesądzają o tymczasowym pomieszczeniu.</w:t>
      </w:r>
    </w:p>
    <w:p>
      <w:pPr>
        <w:numPr>
          <w:ilvl w:val="0"/>
          <w:numId w:val="1004"/>
        </w:numPr>
        <w:pStyle w:val="Compact"/>
      </w:pPr>
      <w:r>
        <w:t xml:space="preserve">Podstawa prawna wyłączeń: art. 25d ustawy o ochronie praw lokatorów, mieszkaniowym zasobie gminy i o zmianie Kodeksu cywilnego (Dz. U. 2023 poz. 725 t.j.).</w:t>
      </w:r>
    </w:p>
    <w:p>
      <w:pPr>
        <w:numPr>
          <w:ilvl w:val="0"/>
          <w:numId w:val="1004"/>
        </w:numPr>
        <w:pStyle w:val="Compact"/>
      </w:pPr>
      <w:r>
        <w:t xml:space="preserve">Wzór ma charakter informacyjny. W sprawie o realnych konsekwencjach mieszkaniowych warto skonsultować pismo z prawnikiem: https://wezprawnika.pl/dobierz-prawnika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2026-08-20T13:39:10Z</dcterms:created>
  <dcterms:modified xsi:type="dcterms:W3CDTF">2026-08-20T13:39:10Z</dcterms:modified>
</cp:coreProperties>
</file>

<file path=docProps/custom.xml><?xml version="1.0" encoding="utf-8"?>
<Properties xmlns="http://schemas.openxmlformats.org/officeDocument/2006/custom-properties" xmlns:vt="http://schemas.openxmlformats.org/officeDocument/2006/docPropsVTypes"/>
</file>