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Wniosek</w:t>
      </w:r>
      <w:r>
        <w:t xml:space="preserve"> </w:t>
      </w:r>
      <w:r>
        <w:t xml:space="preserve">o</w:t>
      </w:r>
      <w:r>
        <w:t xml:space="preserve"> </w:t>
      </w:r>
      <w:r>
        <w:t xml:space="preserve">zwolnienie</w:t>
      </w:r>
      <w:r>
        <w:t xml:space="preserve"> </w:t>
      </w:r>
      <w:r>
        <w:t xml:space="preserve">spod</w:t>
      </w:r>
      <w:r>
        <w:t xml:space="preserve"> </w:t>
      </w:r>
      <w:r>
        <w:t xml:space="preserve">zajęcia</w:t>
      </w:r>
      <w:r>
        <w:t xml:space="preserve"> </w:t>
      </w:r>
      <w:r>
        <w:t xml:space="preserve">środków</w:t>
      </w:r>
      <w:r>
        <w:t xml:space="preserve"> </w:t>
      </w:r>
      <w:r>
        <w:t xml:space="preserve">na</w:t>
      </w:r>
      <w:r>
        <w:t xml:space="preserve"> </w:t>
      </w:r>
      <w:r>
        <w:t xml:space="preserve">rachunku</w:t>
      </w:r>
      <w:r>
        <w:t xml:space="preserve"> </w:t>
      </w:r>
      <w:r>
        <w:t xml:space="preserve">bankowym</w:t>
      </w:r>
      <w:r>
        <w:t xml:space="preserve"> </w:t>
      </w:r>
      <w:r>
        <w:t xml:space="preserve">i</w:t>
      </w:r>
      <w:r>
        <w:t xml:space="preserve"> </w:t>
      </w:r>
      <w:r>
        <w:t xml:space="preserve">o</w:t>
      </w:r>
      <w:r>
        <w:t xml:space="preserve"> </w:t>
      </w:r>
      <w:r>
        <w:t xml:space="preserve">wstrzymanie</w:t>
      </w:r>
      <w:r>
        <w:t xml:space="preserve"> </w:t>
      </w:r>
      <w:r>
        <w:t xml:space="preserve">ich</w:t>
      </w:r>
      <w:r>
        <w:t xml:space="preserve"> </w:t>
      </w:r>
      <w:r>
        <w:t xml:space="preserve">przekazania</w:t>
      </w:r>
      <w:r>
        <w:t xml:space="preserve"> </w:t>
      </w:r>
      <w:r>
        <w:t xml:space="preserve">wierzycielowi</w:t>
      </w:r>
    </w:p>
    <w:p>
      <w:pPr>
        <w:pStyle w:val="Heading1"/>
      </w:pPr>
      <w:bookmarkStart w:id="20" w:name="Xa0b04b05ea8b6737457861ae277f9dab2022b08"/>
      <w:r>
        <w:t xml:space="preserve">Wniosek o zwolnienie spod zajęcia środków na rachunku bankowym i o wstrzymanie ich przekazania wierzycielowi</w:t>
      </w:r>
      <w:bookmarkEnd w:id="20"/>
    </w:p>
    <w:p>
      <w:pPr>
        <w:pStyle w:val="FirstParagraph"/>
      </w:pPr>
      <w:r>
        <w:rPr>
          <w:b/>
        </w:rPr>
        <w:t xml:space="preserve">Wzór do samodzielnego uzupełnienia. Materiał informacyjny, nie jest poradą prawną.</w:t>
      </w:r>
    </w:p>
    <w:p>
      <w:pPr>
        <w:pStyle w:val="BodyText"/>
      </w:pPr>
      <w:r>
        <w:t xml:space="preserve">Stan prawny: 23 września 2026 r. Wzór przygotowała Redakcja Weź Prawnika.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Xb059c90476238c577702087fe92fc958a874c39"/>
      <w:r>
        <w:t xml:space="preserve">Kiedy używać tego wzoru, a kiedy reklamacji do banku</w:t>
      </w:r>
      <w:bookmarkEnd w:id="21"/>
    </w:p>
    <w:p>
      <w:pPr>
        <w:pStyle w:val="FirstParagraph"/>
      </w:pPr>
      <w:r>
        <w:rPr>
          <w:b/>
        </w:rPr>
        <w:t xml:space="preserve">To pismo idzie do komornika i ma sens przede wszystkim wtedy, gdy pieniądze opuściły już bank.</w:t>
      </w:r>
      <w:r>
        <w:t xml:space="preserve"> </w:t>
      </w:r>
      <w:r>
        <w:t xml:space="preserve">Dopóki środki są na rachunku, to bank stosuje kwotę wolną i wyłączenia z mocy prawa, więc właściwym pismem jest reklamacja do banku. Dopiero gdy bank przekazał pieniądze na rachunek kancelarii, decyzja należy do komornika.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Sytuacja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Czego użyć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Środki zostały przekazane na rachunek kancelarii komornika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Tego wzoru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Bank źle naliczył kwotę wolną albo nie rozpoznał chronionego wpływu, pieniądze są jeszcze na rachunku</w:t>
            </w:r>
          </w:p>
        </w:tc>
        <w:tc>
          <w:p>
            <w:pPr>
              <w:pStyle w:val="Compact"/>
              <w:jc w:val="left"/>
            </w:pPr>
            <w:r>
              <w:t xml:space="preserve">Osobnego wzoru: reklamacji do banku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Nie wiesz, na jakim etapie są pieniądze</w:t>
            </w:r>
          </w:p>
        </w:tc>
        <w:tc>
          <w:p>
            <w:pPr>
              <w:pStyle w:val="Compact"/>
              <w:jc w:val="left"/>
            </w:pPr>
            <w:r>
              <w:t xml:space="preserve">Obu pism równolegle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Kwestionujesz samą czynność komornika jako wadliwą</w:t>
            </w:r>
          </w:p>
        </w:tc>
        <w:tc>
          <w:p>
            <w:pPr>
              <w:pStyle w:val="Compact"/>
              <w:jc w:val="left"/>
            </w:pPr>
            <w:r>
              <w:t xml:space="preserve">Skargi na czynności komornika, a nie tego wniosku</w:t>
            </w:r>
          </w:p>
        </w:tc>
      </w:tr>
    </w:tbl>
    <w:p>
      <w:pPr>
        <w:pStyle w:val="Heading2"/>
      </w:pPr>
      <w:bookmarkStart w:id="22" w:name="dlaczego-liczy-się-każdy-dzień"/>
      <w:r>
        <w:t xml:space="preserve">Dlaczego liczy się każdy dzień</w:t>
      </w:r>
      <w:bookmarkEnd w:id="22"/>
    </w:p>
    <w:p>
      <w:pPr>
        <w:pStyle w:val="FirstParagraph"/>
      </w:pPr>
      <w:r>
        <w:t xml:space="preserve">Kluczowy jest</w:t>
      </w:r>
      <w:r>
        <w:t xml:space="preserve"> </w:t>
      </w:r>
      <w:r>
        <w:rPr>
          <w:b/>
        </w:rPr>
        <w:t xml:space="preserve">art. 835</w:t>
      </w:r>
      <w:r>
        <w:rPr>
          <w:vertAlign w:val="superscript"/>
          <w:b/>
        </w:rPr>
        <w:t xml:space="preserve">1</w:t>
      </w:r>
      <w:r>
        <w:rPr>
          <w:b/>
        </w:rPr>
        <w:t xml:space="preserve"> </w:t>
      </w:r>
      <w:r>
        <w:rPr>
          <w:b/>
        </w:rPr>
        <w:t xml:space="preserve">k.p.c.</w:t>
      </w:r>
      <w:r>
        <w:t xml:space="preserve">: jeżeli zachodzą uzasadnione wątpliwości, że uzyskane na skutek egzekucji środki pochodzą z sum lub ze świadczeń niepodlegających egzekucji,</w:t>
      </w:r>
      <w:r>
        <w:t xml:space="preserve"> </w:t>
      </w:r>
      <w:r>
        <w:rPr>
          <w:b/>
        </w:rPr>
        <w:t xml:space="preserve">komornik wstrzymuje się z ich przekazaniem wierzycielowi do czasu wyjaśnienia tych wątpliwości</w:t>
      </w:r>
      <w:r>
        <w:t xml:space="preserve">.</w:t>
      </w:r>
    </w:p>
    <w:p>
      <w:pPr>
        <w:pStyle w:val="BodyText"/>
      </w:pPr>
      <w:r>
        <w:t xml:space="preserve">Dlatego w tym wniosku żądanie wstrzymania przekazania jest równie ważne jak żądanie zwolnienia spod zajęcia.</w:t>
      </w:r>
      <w:r>
        <w:t xml:space="preserve"> </w:t>
      </w:r>
      <w:r>
        <w:rPr>
          <w:b/>
        </w:rPr>
        <w:t xml:space="preserve">Dopóki pieniądze są w kancelarii, komornik może je zwrócić. Po przekazaniu ich wierzycielowi odzyskanie bywa znacznie trudniejsze</w:t>
      </w:r>
      <w:r>
        <w:t xml:space="preserve"> </w:t>
      </w:r>
      <w:r>
        <w:t xml:space="preserve">i może wymagać roszczenia wobec banku albo wierzyciela, albo odrębnego środka procesowego.</w:t>
      </w:r>
    </w:p>
    <w:p>
      <w:pPr>
        <w:pStyle w:val="Heading2"/>
      </w:pPr>
      <w:bookmarkStart w:id="23" w:name="jak-korzystać"/>
      <w:r>
        <w:t xml:space="preserve">Jak korzystać</w:t>
      </w:r>
      <w:bookmarkEnd w:id="23"/>
    </w:p>
    <w:p>
      <w:pPr>
        <w:numPr>
          <w:ilvl w:val="0"/>
          <w:numId w:val="1001"/>
        </w:numPr>
        <w:pStyle w:val="Compact"/>
      </w:pPr>
      <w:r>
        <w:t xml:space="preserve">Wybierz wariant.</w:t>
      </w:r>
      <w:r>
        <w:t xml:space="preserve"> </w:t>
      </w:r>
      <w:r>
        <w:rPr>
          <w:b/>
        </w:rPr>
        <w:t xml:space="preserve">Wariant A</w:t>
      </w:r>
      <w:r>
        <w:t xml:space="preserve"> </w:t>
      </w:r>
      <w:r>
        <w:t xml:space="preserve">dotyczy świadczeń wyłączonych spod egzekucji.</w:t>
      </w:r>
      <w:r>
        <w:t xml:space="preserve"> </w:t>
      </w:r>
      <w:r>
        <w:rPr>
          <w:b/>
        </w:rPr>
        <w:t xml:space="preserve">Wariant B</w:t>
      </w:r>
      <w:r>
        <w:t xml:space="preserve"> </w:t>
      </w:r>
      <w:r>
        <w:t xml:space="preserve">dotyczy przekroczenia kwoty wolnej.</w:t>
      </w:r>
    </w:p>
    <w:p>
      <w:pPr>
        <w:numPr>
          <w:ilvl w:val="0"/>
          <w:numId w:val="1001"/>
        </w:numPr>
        <w:pStyle w:val="Compact"/>
      </w:pPr>
      <w:r>
        <w:t xml:space="preserve">Uzupełnij pola w nawiasach kwadratowych, usuń komentarze i niewybrany wariant.</w:t>
      </w:r>
    </w:p>
    <w:p>
      <w:pPr>
        <w:numPr>
          <w:ilvl w:val="0"/>
          <w:numId w:val="1001"/>
        </w:numPr>
        <w:pStyle w:val="Compact"/>
      </w:pPr>
      <w:r>
        <w:t xml:space="preserve">Dane komornika i sygnaturę sprawy znajdziesz w zawiadomieniu o zajęciu albo uzyskasz w swoim banku.</w:t>
      </w:r>
    </w:p>
    <w:p>
      <w:pPr>
        <w:numPr>
          <w:ilvl w:val="0"/>
          <w:numId w:val="1001"/>
        </w:numPr>
        <w:pStyle w:val="Compact"/>
      </w:pPr>
      <w:r>
        <w:t xml:space="preserve">Dołącz dowody: wyciąg z rachunku, decyzję przyznającą świadczenie, zaświadczenie organu wypłacającego.</w:t>
      </w:r>
    </w:p>
    <w:p>
      <w:pPr>
        <w:numPr>
          <w:ilvl w:val="0"/>
          <w:numId w:val="1001"/>
        </w:numPr>
        <w:pStyle w:val="Compact"/>
      </w:pPr>
      <w:r>
        <w:t xml:space="preserve">Zachowaj potwierdzenie nadania. Jeżeli składasz osobiście, poproś o prezentatę na kopii.</w:t>
      </w:r>
    </w:p>
    <w:p>
      <w:pPr>
        <w:pStyle w:val="FirstParagraph"/>
      </w:pPr>
      <w:r>
        <w:rPr>
          <w:b/>
        </w:rPr>
        <w:t xml:space="preserve">Ten wniosek nie zastępuje skargi na czynności komornika.</w:t>
      </w:r>
      <w:r>
        <w:t xml:space="preserve"> </w:t>
      </w:r>
      <w:r>
        <w:t xml:space="preserve">Jeżeli kwestionujesz samą czynność zajęcia jako wadliwą, przysługuje skarga do sądu rejonowego, którą wnosi się</w:t>
      </w:r>
      <w:r>
        <w:t xml:space="preserve"> </w:t>
      </w:r>
      <w:r>
        <w:rPr>
          <w:b/>
        </w:rPr>
        <w:t xml:space="preserve">za pośrednictwem komornika</w:t>
      </w:r>
      <w:r>
        <w:t xml:space="preserve"> </w:t>
      </w:r>
      <w:r>
        <w:t xml:space="preserve">(art. 767 § 5 k.p.c.), a opłata wynosi 50 zł (art. 25 ust. 1 ustawy o kosztach sądowych w sprawach cywilnych). Termin wynosi tydzień, ale</w:t>
      </w:r>
      <w:r>
        <w:t xml:space="preserve"> </w:t>
      </w:r>
      <w:r>
        <w:rPr>
          <w:b/>
        </w:rPr>
        <w:t xml:space="preserve">początek jego biegu zależy od sytuacji</w:t>
      </w:r>
      <w:r>
        <w:t xml:space="preserve"> </w:t>
      </w:r>
      <w:r>
        <w:t xml:space="preserve">(art. 767 § 4 k.p.c.): liczy się od dnia dokonania czynności, gdy byłeś przy niej obecny albo zawiadomiony o jej terminie; od dnia zawiadomienia o dokonaniu czynności w pozostałych przypadkach; a dopiero w braku zawiadomienia od dnia, w którym się o niej dowiedziałeś. Przy zajęciu rachunku najczęściej zastosowanie ma wariant drugi.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rPr>
          <w:b/>
        </w:rPr>
        <w:t xml:space="preserve">[Imię i nazwisko dłużnika]</w:t>
      </w:r>
      <w:r>
        <w:br/>
      </w:r>
      <w:r>
        <w:t xml:space="preserve">[Adres zamieszkania]</w:t>
      </w:r>
      <w:r>
        <w:br/>
      </w:r>
      <w:r>
        <w:t xml:space="preserve">PESEL: [numer]</w:t>
      </w:r>
      <w:r>
        <w:br/>
      </w:r>
      <w:r>
        <w:t xml:space="preserve">Adres do doręczeń: [jeżeli inny niż zamieszkania]</w:t>
      </w:r>
    </w:p>
    <w:p>
      <w:pPr>
        <w:pStyle w:val="BodyText"/>
      </w:pPr>
      <w:r>
        <w:rPr>
          <w:b/>
        </w:rPr>
        <w:t xml:space="preserve">Komornik Sądowy przy Sądzie Rejonowym</w:t>
      </w:r>
      <w:r>
        <w:br/>
      </w:r>
      <w:r>
        <w:rPr>
          <w:b/>
        </w:rPr>
        <w:t xml:space="preserve">w [miejscowość]</w:t>
      </w:r>
      <w:r>
        <w:br/>
      </w:r>
      <w:r>
        <w:rPr>
          <w:b/>
        </w:rPr>
        <w:t xml:space="preserve">[Imię i nazwisko komornika]</w:t>
      </w:r>
      <w:r>
        <w:br/>
      </w:r>
      <w:r>
        <w:t xml:space="preserve">[Adres kancelarii]</w:t>
      </w:r>
    </w:p>
    <w:p>
      <w:pPr>
        <w:pStyle w:val="BodyText"/>
      </w:pPr>
      <w:r>
        <w:rPr>
          <w:b/>
        </w:rPr>
        <w:t xml:space="preserve">Sygnatura akt: [np. Km 000/26]</w:t>
      </w:r>
    </w:p>
    <w:p>
      <w:pPr>
        <w:pStyle w:val="Heading2"/>
      </w:pPr>
      <w:bookmarkStart w:id="24" w:name="X0b90ef31c2b621de73dc0154087fd2248f4066b"/>
      <w:r>
        <w:t xml:space="preserve">WNIOSEK O ZWOLNIENIE SPOD ZAJĘCIA ŚRODKÓW NA RACHUNKU BANKOWYM I O WSTRZYMANIE ICH PRZEKAZANIA WIERZYCIELOWI</w:t>
      </w:r>
      <w:bookmarkEnd w:id="24"/>
    </w:p>
    <w:p>
      <w:pPr>
        <w:pStyle w:val="FirstParagraph"/>
      </w:pPr>
      <w:r>
        <w:t xml:space="preserve">Działając jako dłużnik w postępowaniu egzekucyjnym prowadzonym pod wskazaną wyżej sygnaturą, wnoszę o: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wstrzymanie przekazania wierzycielowi</w:t>
      </w:r>
      <w:r>
        <w:t xml:space="preserve"> </w:t>
      </w:r>
      <w:r>
        <w:t xml:space="preserve">kwoty [kwota] zł wyegzekwowanej z rachunku bankowego nr [numer rachunku] prowadzonego przez [nazwa banku],</w:t>
      </w:r>
      <w:r>
        <w:t xml:space="preserve"> </w:t>
      </w:r>
      <w:r>
        <w:rPr>
          <w:b/>
        </w:rPr>
        <w:t xml:space="preserve">na podstawie art. 835</w:t>
      </w:r>
      <w:r>
        <w:rPr>
          <w:vertAlign w:val="superscript"/>
          <w:b/>
        </w:rPr>
        <w:t xml:space="preserve">1</w:t>
      </w:r>
      <w:r>
        <w:rPr>
          <w:b/>
        </w:rPr>
        <w:t xml:space="preserve"> </w:t>
      </w:r>
      <w:r>
        <w:rPr>
          <w:b/>
        </w:rPr>
        <w:t xml:space="preserve">k.p.c.</w:t>
      </w:r>
      <w:r>
        <w:t xml:space="preserve">, do czasu wyjaśnienia, czy środki te pochodzą ze świadczeń niepodlegających egzekucji;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zwolnienie spod zajęcia</w:t>
      </w:r>
      <w:r>
        <w:t xml:space="preserve"> </w:t>
      </w:r>
      <w:r>
        <w:t xml:space="preserve">środków pieniężnych w kwocie [kwota] zł jako niepodlegających egzekucji;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zwrot kwoty [kwota] zł</w:t>
      </w:r>
      <w:r>
        <w:t xml:space="preserve"> </w:t>
      </w:r>
      <w:r>
        <w:t xml:space="preserve">przekazanej przez bank na rachunek kancelarii,</w:t>
      </w:r>
      <w:r>
        <w:t xml:space="preserve"> </w:t>
      </w:r>
      <w:r>
        <w:rPr>
          <w:b/>
        </w:rPr>
        <w:t xml:space="preserve">o ile środki pozostają na rachunku kancelarii i nie zostały jeszcze przekazane wierzycielowi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poinformowanie banku</w:t>
      </w:r>
      <w:r>
        <w:t xml:space="preserve"> </w:t>
      </w:r>
      <w:r>
        <w:t xml:space="preserve">o zakresie, w jakim zajęcie pozostaje w mocy;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wskazanie, czy i kiedy</w:t>
      </w:r>
      <w:r>
        <w:t xml:space="preserve"> </w:t>
      </w:r>
      <w:r>
        <w:t xml:space="preserve">sporne środki zostały przekazane wierzycielowi, wraz z podaniem jego danych.</w:t>
      </w:r>
    </w:p>
    <w:p>
      <w:pPr>
        <w:pStyle w:val="Heading2"/>
      </w:pPr>
      <w:bookmarkStart w:id="25" w:name="uzasadnienie"/>
      <w:r>
        <w:t xml:space="preserve">Uzasadnienie</w:t>
      </w:r>
      <w:bookmarkEnd w:id="25"/>
    </w:p>
    <w:p>
      <w:pPr>
        <w:pStyle w:val="Heading3"/>
      </w:pPr>
      <w:bookmarkStart w:id="26" w:name="Xe21251f77e7cf4528f3250ae96994bcc0680f2d"/>
      <w:r>
        <w:t xml:space="preserve">WARIANT A - środki wyłączone spod egzekucji</w:t>
      </w:r>
      <w:bookmarkEnd w:id="26"/>
    </w:p>
    <w:p>
      <w:pPr>
        <w:pStyle w:val="FirstParagraph"/>
      </w:pPr>
      <w:r>
        <w:t xml:space="preserve">Na rachunek nr [numer rachunku] wpływają świadczenia, które nie podlegają egzekucji, to jest: [wskazać konkretnie, np. świadczenie wychowawcze, świadczenia rodzinne, świadczenia alimentacyjne na rzecz małoletniego dziecka, dodatek osłonowy, świadczenie z pomocy społecznej].</w:t>
      </w:r>
    </w:p>
    <w:p>
      <w:pPr>
        <w:pStyle w:val="BodyText"/>
      </w:pPr>
      <w:r>
        <w:t xml:space="preserve">Zgodnie z</w:t>
      </w:r>
      <w:r>
        <w:t xml:space="preserve"> </w:t>
      </w:r>
      <w:r>
        <w:rPr>
          <w:b/>
        </w:rPr>
        <w:t xml:space="preserve">art. 833 § 6 k.p.c.</w:t>
      </w:r>
      <w:r>
        <w:t xml:space="preserve"> </w:t>
      </w:r>
      <w:r>
        <w:t xml:space="preserve">świadczenia te nie podlegają egzekucji. Zgodnie z</w:t>
      </w:r>
      <w:r>
        <w:t xml:space="preserve"> </w:t>
      </w:r>
      <w:r>
        <w:rPr>
          <w:b/>
        </w:rPr>
        <w:t xml:space="preserve">art. 890 § 1</w:t>
      </w:r>
      <w:r>
        <w:rPr>
          <w:vertAlign w:val="superscript"/>
          <w:b/>
        </w:rPr>
        <w:t xml:space="preserve">1</w:t>
      </w:r>
      <w:r>
        <w:rPr>
          <w:b/>
        </w:rPr>
        <w:t xml:space="preserve"> </w:t>
      </w:r>
      <w:r>
        <w:rPr>
          <w:b/>
        </w:rPr>
        <w:t xml:space="preserve">k.p.c.</w:t>
      </w:r>
      <w:r>
        <w:t xml:space="preserve"> </w:t>
      </w:r>
      <w:r>
        <w:t xml:space="preserve">zajęcie wierzytelności z rachunku bankowego nie obejmuje kwot pochodzących z tych świadczeń, a</w:t>
      </w:r>
      <w:r>
        <w:t xml:space="preserve"> </w:t>
      </w:r>
      <w:r>
        <w:rPr>
          <w:b/>
        </w:rPr>
        <w:t xml:space="preserve">art. 54a ustawy Prawo bankowe</w:t>
      </w:r>
      <w:r>
        <w:t xml:space="preserve"> </w:t>
      </w:r>
      <w:r>
        <w:t xml:space="preserve">stanowi, że są one wolne od zajęcia na podstawie sądowego lub administracyjnego tytułu wykonawczego.</w:t>
      </w:r>
    </w:p>
    <w:p>
      <w:pPr>
        <w:pStyle w:val="BodyText"/>
      </w:pPr>
      <w:r>
        <w:rPr>
          <w:i/>
        </w:rPr>
        <w:t xml:space="preserve">[Jeżeli wnioskujesz o świadczenie uzupełniające dla osób niezdolnych do samodzielnej egzystencji, dodatkowe roczne świadczenie dla emerytów i rencistów albo inne świadczenie wymienione w art. 54a, powołaj wyłącznie tę podstawę:]</w:t>
      </w:r>
      <w:r>
        <w:t xml:space="preserve"> </w:t>
      </w:r>
      <w:r>
        <w:t xml:space="preserve">Świadczenie uzupełniające dla osób niezdolnych do samodzielnej egzystencji jest wolne od zajęcia na podstawie</w:t>
      </w:r>
      <w:r>
        <w:t xml:space="preserve"> </w:t>
      </w:r>
      <w:r>
        <w:rPr>
          <w:b/>
        </w:rPr>
        <w:t xml:space="preserve">art. 54a ustawy Prawo bankowe</w:t>
      </w:r>
      <w:r>
        <w:t xml:space="preserve">. Nie zostało wymienione w art. 833 § 6 k.p.c., więc nie obejmuje go odesłanie z art. 890 § 1</w:t>
      </w:r>
      <w:r>
        <w:rPr>
          <w:vertAlign w:val="superscript"/>
        </w:rPr>
        <w:t xml:space="preserve">1</w:t>
      </w:r>
      <w:r>
        <w:t xml:space="preserve"> </w:t>
      </w:r>
      <w:r>
        <w:t xml:space="preserve">k.p.c.</w:t>
      </w:r>
    </w:p>
    <w:p>
      <w:pPr>
        <w:pStyle w:val="BodyText"/>
      </w:pPr>
      <w:r>
        <w:t xml:space="preserve">W okresie od [data] do [data] na rachunek wpłynęły następujące kwoty pochodzące ze świadczeń wyłączonych spod egzekucji: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Data wpływu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Tytuł przelewu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Nadawca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Kwota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[data]</w:t>
            </w:r>
          </w:p>
        </w:tc>
        <w:tc>
          <w:p>
            <w:pPr>
              <w:pStyle w:val="Compact"/>
              <w:jc w:val="left"/>
            </w:pPr>
            <w:r>
              <w:t xml:space="preserve">[tytuł]</w:t>
            </w:r>
          </w:p>
        </w:tc>
        <w:tc>
          <w:p>
            <w:pPr>
              <w:pStyle w:val="Compact"/>
              <w:jc w:val="left"/>
            </w:pPr>
            <w:r>
              <w:t xml:space="preserve">[organ wypłacający]</w:t>
            </w:r>
          </w:p>
        </w:tc>
        <w:tc>
          <w:p>
            <w:pPr>
              <w:pStyle w:val="Compact"/>
              <w:jc w:val="left"/>
            </w:pPr>
            <w:r>
              <w:t xml:space="preserve">[kwota] zł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[data]</w:t>
            </w:r>
          </w:p>
        </w:tc>
        <w:tc>
          <w:p>
            <w:pPr>
              <w:pStyle w:val="Compact"/>
              <w:jc w:val="left"/>
            </w:pPr>
            <w:r>
              <w:t xml:space="preserve">[tytuł]</w:t>
            </w:r>
          </w:p>
        </w:tc>
        <w:tc>
          <w:p>
            <w:pPr>
              <w:pStyle w:val="Compact"/>
              <w:jc w:val="left"/>
            </w:pPr>
            <w:r>
              <w:t xml:space="preserve">[organ wypłacający]</w:t>
            </w:r>
          </w:p>
        </w:tc>
        <w:tc>
          <w:p>
            <w:pPr>
              <w:pStyle w:val="Compact"/>
              <w:jc w:val="left"/>
            </w:pPr>
            <w:r>
              <w:t xml:space="preserve">[kwota] zł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Razem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[suma] zł</w:t>
            </w:r>
          </w:p>
        </w:tc>
      </w:tr>
    </w:tbl>
    <w:p>
      <w:pPr>
        <w:pStyle w:val="BodyText"/>
      </w:pPr>
      <w:r>
        <w:t xml:space="preserve">Mimo ustawowego wyłączenia środki te zostały objęte egzekucją. Na dowód przedkładam wyciąg z rachunku oraz decyzję [organ] z dnia [data] przyznającą wskazane świadczenie.</w:t>
      </w:r>
    </w:p>
    <w:p>
      <w:pPr>
        <w:pStyle w:val="BodyText"/>
      </w:pPr>
      <w:r>
        <w:rPr>
          <w:b/>
        </w:rPr>
        <w:t xml:space="preserve">Powyższe okoliczności uzasadniają wątpliwości w rozumieniu art. 835</w:t>
      </w:r>
      <w:r>
        <w:rPr>
          <w:vertAlign w:val="superscript"/>
          <w:b/>
        </w:rPr>
        <w:t xml:space="preserve">1</w:t>
      </w:r>
      <w:r>
        <w:rPr>
          <w:b/>
        </w:rPr>
        <w:t xml:space="preserve"> </w:t>
      </w:r>
      <w:r>
        <w:rPr>
          <w:b/>
        </w:rPr>
        <w:t xml:space="preserve">k.p.c.</w:t>
      </w:r>
      <w:r>
        <w:t xml:space="preserve">, co obliguje organ egzekucyjny do wstrzymania się z przekazaniem spornych środków wierzycielowi do czasu ich wyjaśnienia.</w:t>
      </w:r>
    </w:p>
    <w:p>
      <w:pPr>
        <w:pStyle w:val="BodyText"/>
      </w:pPr>
      <w:r>
        <w:rPr>
          <w:i/>
        </w:rPr>
        <w:t xml:space="preserve">[Jeżeli na rachunku są także środki z innych źródeł, dopisz:]</w:t>
      </w:r>
      <w:r>
        <w:t xml:space="preserve"> </w:t>
      </w:r>
      <w:r>
        <w:t xml:space="preserve">Pozostałe środki na rachunku pochodzą z [źródło] i nie są objęte niniejszym wnioskiem.</w:t>
      </w:r>
    </w:p>
    <w:p>
      <w:pPr>
        <w:pStyle w:val="Heading3"/>
      </w:pPr>
      <w:bookmarkStart w:id="27" w:name="X665afac25da4f45433a09fbe3a8bb884b038400"/>
      <w:r>
        <w:t xml:space="preserve">WARIANT B - przekroczenie kwoty wolnej od zajęcia</w:t>
      </w:r>
      <w:bookmarkEnd w:id="27"/>
    </w:p>
    <w:p>
      <w:pPr>
        <w:pStyle w:val="FirstParagraph"/>
      </w:pPr>
      <w:r>
        <w:t xml:space="preserve">Rachunek nr [numer rachunku] jest rachunkiem [oszczędnościowo-rozliczeniowym / oszczędnościowym / terminowej lokaty oszczędnościowej] prowadzonym dla mnie jako osoby fizycznej.</w:t>
      </w:r>
    </w:p>
    <w:p>
      <w:pPr>
        <w:pStyle w:val="BodyText"/>
      </w:pPr>
      <w:r>
        <w:t xml:space="preserve">Zgodnie z</w:t>
      </w:r>
      <w:r>
        <w:t xml:space="preserve"> </w:t>
      </w:r>
      <w:r>
        <w:rPr>
          <w:b/>
        </w:rPr>
        <w:t xml:space="preserve">art. 54 ust. 1 ustawy z dnia 29 sierpnia 1997 r. Prawo bankowe</w:t>
      </w:r>
      <w:r>
        <w:t xml:space="preserve"> </w:t>
      </w:r>
      <w:r>
        <w:t xml:space="preserve">środki pieniężne na takich rachunkach jednej osoby, niezależnie od liczby zawartych umów, są wolne od zajęcia</w:t>
      </w:r>
      <w:r>
        <w:t xml:space="preserve"> </w:t>
      </w:r>
      <w:r>
        <w:rPr>
          <w:b/>
        </w:rPr>
        <w:t xml:space="preserve">w każdym miesiącu kalendarzowym, w którym obowiązuje zajęcie, do wysokości 75% minimalnego wynagrodzenia za pracę</w:t>
      </w:r>
      <w:r>
        <w:t xml:space="preserve">.</w:t>
      </w:r>
    </w:p>
    <w:p>
      <w:pPr>
        <w:pStyle w:val="BodyText"/>
      </w:pPr>
      <w:r>
        <w:t xml:space="preserve">W [rok] r. minimalne wynagrodzenie za pracę wynosi [4 806 zł w 2026 r., zgodnie z Dz.U. 2025 poz. 1242 / 4 950 zł od 1 stycznia 2027 r., zgodnie z Dz.U. 2026 poz. 1213], a zatem kwota wolna od zajęcia wynosi</w:t>
      </w:r>
      <w:r>
        <w:t xml:space="preserve"> </w:t>
      </w:r>
      <w:r>
        <w:rPr>
          <w:b/>
        </w:rPr>
        <w:t xml:space="preserve">[3 604,50 zł / 3 712,50 zł] miesięcznie</w:t>
      </w:r>
      <w:r>
        <w:t xml:space="preserve">.</w:t>
      </w:r>
    </w:p>
    <w:p>
      <w:pPr>
        <w:pStyle w:val="BodyText"/>
      </w:pPr>
      <w:r>
        <w:t xml:space="preserve">W miesiącu [miesiąc i rok] z mojego rachunku przekazano kwotę [kwota] zł, mimo że suma środków, które w tym miesiącu znalazły się na rachunku, wynosiła [kwota] zł, a więc nie przekraczała kwoty wolnej. Egzekucja w tej części jest niezgodna z art. 54 ust. 1 Prawa bankowego.</w:t>
      </w:r>
    </w:p>
    <w:p>
      <w:pPr>
        <w:pStyle w:val="BodyText"/>
      </w:pPr>
      <w:r>
        <w:rPr>
          <w:i/>
        </w:rPr>
        <w:t xml:space="preserve">[Jeżeli masz kilka rachunków, dopisz:]</w:t>
      </w:r>
      <w:r>
        <w:t xml:space="preserve"> </w:t>
      </w:r>
      <w:r>
        <w:t xml:space="preserve">Oświadczam, że w miesiącu [miesiąc i rok] nie wykorzystałem kwoty wolnej na żadnym innym rachunku bankowym.</w:t>
      </w:r>
    </w:p>
    <w:p>
      <w:pPr>
        <w:pStyle w:val="BodyText"/>
      </w:pPr>
      <w:r>
        <w:rPr>
          <w:i/>
        </w:rPr>
        <w:t xml:space="preserve">[Jeżeli równolegle złożyłeś reklamację w banku, dopisz:]</w:t>
      </w:r>
      <w:r>
        <w:t xml:space="preserve"> </w:t>
      </w:r>
      <w:r>
        <w:t xml:space="preserve">W dniu [data] złożyłem w [nazwa banku] reklamację dotyczącą sposobu naliczenia kwoty wolnej, nr [numer reklamacji]. Kopię reklamacji załączam.</w:t>
      </w:r>
    </w:p>
    <w:p>
      <w:pPr>
        <w:pStyle w:val="Heading3"/>
      </w:pPr>
      <w:bookmarkStart w:id="28" w:name="część-wspólna-dla-obu-wariantów"/>
      <w:r>
        <w:t xml:space="preserve">Część wspólna dla obu wariantów</w:t>
      </w:r>
      <w:bookmarkEnd w:id="28"/>
    </w:p>
    <w:p>
      <w:pPr>
        <w:pStyle w:val="FirstParagraph"/>
      </w:pPr>
      <w:r>
        <w:t xml:space="preserve">Zajęcie środków we wskazanym zakresie pozbawia mnie i osoby pozostające na moim utrzymaniu możliwości pokrycia podstawowych kosztów utrzymania, w tym [czynszu, opłat za media, leków, kosztów utrzymania małoletnich dzieci].</w:t>
      </w:r>
    </w:p>
    <w:p>
      <w:pPr>
        <w:pStyle w:val="BodyText"/>
      </w:pPr>
      <w:r>
        <w:t xml:space="preserve">Wobec powyższego wnoszę jak na wstępie.</w:t>
      </w:r>
    </w:p>
    <w:p>
      <w:pPr>
        <w:pStyle w:val="BodyText"/>
      </w:pPr>
      <w:r>
        <w:t xml:space="preserve">[Podpis dłużnika]</w:t>
      </w:r>
    </w:p>
    <w:p>
      <w:pPr>
        <w:pStyle w:val="BodyText"/>
      </w:pPr>
      <w:r>
        <w:rPr>
          <w:b/>
        </w:rPr>
        <w:t xml:space="preserve">Załączniki:</w:t>
      </w:r>
    </w:p>
    <w:p>
      <w:pPr>
        <w:numPr>
          <w:ilvl w:val="0"/>
          <w:numId w:val="1003"/>
        </w:numPr>
        <w:pStyle w:val="Compact"/>
      </w:pPr>
      <w:r>
        <w:t xml:space="preserve">Wyciąg z rachunku bankowego nr [numer] za okres od [data] do [data]</w:t>
      </w:r>
    </w:p>
    <w:p>
      <w:pPr>
        <w:numPr>
          <w:ilvl w:val="0"/>
          <w:numId w:val="1003"/>
        </w:numPr>
        <w:pStyle w:val="Compact"/>
      </w:pPr>
      <w:r>
        <w:t xml:space="preserve">Decyzja [organ] z dnia [data] przyznająca [świadczenie]</w:t>
      </w:r>
    </w:p>
    <w:p>
      <w:pPr>
        <w:numPr>
          <w:ilvl w:val="0"/>
          <w:numId w:val="1003"/>
        </w:numPr>
        <w:pStyle w:val="Compact"/>
      </w:pPr>
      <w:r>
        <w:t xml:space="preserve">[Kopia reklamacji złożonej w banku, jeżeli była składana]</w:t>
      </w:r>
    </w:p>
    <w:p>
      <w:pPr>
        <w:numPr>
          <w:ilvl w:val="0"/>
          <w:numId w:val="1003"/>
        </w:numPr>
        <w:pStyle w:val="Compact"/>
      </w:pPr>
      <w:r>
        <w:t xml:space="preserve">[Inne dowody, np. zaświadczenie o wysokości wynagrodzenia, potwierdzenie wpływu świadczenia]</w:t>
      </w:r>
    </w:p>
    <w:p>
      <w:pPr>
        <w:numPr>
          <w:ilvl w:val="0"/>
          <w:numId w:val="1003"/>
        </w:numPr>
        <w:pStyle w:val="Compact"/>
      </w:pPr>
      <w:r>
        <w:t xml:space="preserve">Odpis wniosku dla wierzyciela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podstawa-prawna-wykorzystana-we-wzorze"/>
      <w:r>
        <w:t xml:space="preserve">Podstawa prawna wykorzystana we wzorze</w:t>
      </w:r>
      <w:bookmarkEnd w:id="29"/>
    </w:p>
    <w:p>
      <w:pPr>
        <w:numPr>
          <w:ilvl w:val="0"/>
          <w:numId w:val="1004"/>
        </w:numPr>
        <w:pStyle w:val="Compact"/>
      </w:pPr>
      <w:r>
        <w:t xml:space="preserve">Ustawa z dnia 17 listopada 1964 r. Kodeks postępowania cywilnego, tekst jednolity Dz.U. 2026 poz. 468 ze zm.: art. 767 § 4 i § 5, art. 833 § 6, art. 835</w:t>
      </w:r>
      <w:r>
        <w:rPr>
          <w:vertAlign w:val="superscript"/>
        </w:rPr>
        <w:t xml:space="preserve">1</w:t>
      </w:r>
      <w:r>
        <w:t xml:space="preserve">, art. 890 § 1 i § 1</w:t>
      </w:r>
      <w:r>
        <w:rPr>
          <w:vertAlign w:val="superscript"/>
        </w:rPr>
        <w:t xml:space="preserve">1</w:t>
      </w:r>
      <w:r>
        <w:t xml:space="preserve">, art. 891</w:t>
      </w:r>
      <w:r>
        <w:rPr>
          <w:vertAlign w:val="superscript"/>
        </w:rPr>
        <w:t xml:space="preserve">1</w:t>
      </w:r>
      <w:r>
        <w:t xml:space="preserve">, art. 891</w:t>
      </w:r>
      <w:r>
        <w:rPr>
          <w:vertAlign w:val="superscript"/>
        </w:rPr>
        <w:t xml:space="preserve">2</w:t>
      </w:r>
    </w:p>
    <w:p>
      <w:pPr>
        <w:numPr>
          <w:ilvl w:val="0"/>
          <w:numId w:val="1004"/>
        </w:numPr>
        <w:pStyle w:val="Compact"/>
      </w:pPr>
      <w:r>
        <w:t xml:space="preserve">Ustawa z dnia 29 sierpnia 1997 r. Prawo bankowe, tekst jednolity Dz.U. 2026 poz. 38 ze zm.: art. 54 ust. 1 i ust. 2, art. 54a</w:t>
      </w:r>
    </w:p>
    <w:p>
      <w:pPr>
        <w:numPr>
          <w:ilvl w:val="0"/>
          <w:numId w:val="1004"/>
        </w:numPr>
        <w:pStyle w:val="Compact"/>
      </w:pPr>
      <w:r>
        <w:t xml:space="preserve">Ustawa z dnia 28 lipca 2005 r. o kosztach sądowych w sprawach cywilnych, tekst jednolity Dz.U. 2025 poz. 1228 ze zm.: art. 25 ust. 1</w:t>
      </w:r>
    </w:p>
    <w:p>
      <w:pPr>
        <w:numPr>
          <w:ilvl w:val="0"/>
          <w:numId w:val="1004"/>
        </w:numPr>
        <w:pStyle w:val="Compact"/>
      </w:pPr>
      <w:r>
        <w:t xml:space="preserve">Rozporządzenie Rady Ministrów z dnia 11 września 2025 r., Dz.U. 2025 poz. 1242 (minimalne wynagrodzenie 4 806 zł od 1 stycznia 2026 r.)</w:t>
      </w:r>
    </w:p>
    <w:p>
      <w:pPr>
        <w:numPr>
          <w:ilvl w:val="0"/>
          <w:numId w:val="1004"/>
        </w:numPr>
        <w:pStyle w:val="Compact"/>
      </w:pPr>
      <w:r>
        <w:t xml:space="preserve">Rozporządzenie Rady Ministrów z dnia 14 września 2026 r., Dz.U. 2026 poz. 1213 (minimalne wynagrodzenie 4 950 zł od 1 stycznia 2027 r.)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Wzór ma charakter informacyjny i nie stanowi porady prawnej. Kwoty wolne zmieniają się co najmniej raz w roku. Jeżeli sprawa jest złożona, skonsultuj ją z prawnikiem: wezprawnika.pl/dobierz-prawnika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20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zwolnienie spod zajęcia środków na rachunku bankowym i o wstrzymanie ich przekazania wierzycielowi</dc:title>
  <dc:creator/>
  <dc:language>pl</dc:language>
  <cp:keywords/>
  <dcterms:created xsi:type="dcterms:W3CDTF">2026-09-23T14:29:54Z</dcterms:created>
  <dcterms:modified xsi:type="dcterms:W3CDTF">2026-09-23T14:29:54Z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